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2860"/>
      </w:tblGrid>
      <w:tr>
        <w:trPr>
          <w:trHeight w:val="319" w:hRule="atLeast"/>
        </w:trPr>
        <w:tc>
          <w:tcPr>
            <w:tcW w:w="2249" w:type="dxa"/>
            <w:tcBorders>
              <w:left w:val="single" w:sz="18" w:space="0" w:color="6F2F9F"/>
            </w:tcBorders>
            <w:shd w:val="clear" w:color="auto" w:fill="F1F1F1"/>
          </w:tcPr>
          <w:p>
            <w:pPr>
              <w:pStyle w:val="TableParagraph"/>
              <w:spacing w:line="298" w:lineRule="exact"/>
              <w:ind w:right="72"/>
              <w:jc w:val="right"/>
              <w:rPr>
                <w:rFonts w:ascii="Sakkal Majalla" w:hAnsi="Sakkal Majalla"/>
                <w:b/>
                <w:sz w:val="22"/>
              </w:rPr>
            </w:pPr>
            <w:r>
              <w:rPr>
                <w:rFonts w:ascii="Sakkal Majalla" w:hAnsi="Sakkal Majalla"/>
                <w:b/>
                <w:sz w:val="22"/>
              </w:rPr>
              <w:t>Académie régionale</w:t>
            </w:r>
          </w:p>
        </w:tc>
        <w:tc>
          <w:tcPr>
            <w:tcW w:w="2860" w:type="dxa"/>
            <w:shd w:val="clear" w:color="auto" w:fill="F1F1F1"/>
          </w:tcPr>
          <w:p>
            <w:pPr>
              <w:pStyle w:val="TableParagraph"/>
              <w:spacing w:line="298" w:lineRule="exact"/>
              <w:ind w:left="110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w w:val="100"/>
                <w:sz w:val="22"/>
              </w:rPr>
              <w:t>:</w:t>
            </w:r>
          </w:p>
        </w:tc>
      </w:tr>
      <w:tr>
        <w:trPr>
          <w:trHeight w:val="340" w:hRule="atLeast"/>
        </w:trPr>
        <w:tc>
          <w:tcPr>
            <w:tcW w:w="2249" w:type="dxa"/>
            <w:tcBorders>
              <w:left w:val="single" w:sz="18" w:space="0" w:color="6F2F9F"/>
            </w:tcBorders>
            <w:shd w:val="clear" w:color="auto" w:fill="F1F1F1"/>
          </w:tcPr>
          <w:p>
            <w:pPr>
              <w:pStyle w:val="TableParagraph"/>
              <w:spacing w:before="12"/>
              <w:ind w:right="74"/>
              <w:jc w:val="right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sz w:val="22"/>
              </w:rPr>
              <w:t>Direction provinciale</w:t>
            </w:r>
          </w:p>
        </w:tc>
        <w:tc>
          <w:tcPr>
            <w:tcW w:w="2860" w:type="dxa"/>
            <w:shd w:val="clear" w:color="auto" w:fill="F1F1F1"/>
          </w:tcPr>
          <w:p>
            <w:pPr>
              <w:pStyle w:val="TableParagraph"/>
              <w:spacing w:before="12"/>
              <w:ind w:left="110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w w:val="100"/>
                <w:sz w:val="22"/>
              </w:rPr>
              <w:t>:</w:t>
            </w:r>
          </w:p>
        </w:tc>
      </w:tr>
      <w:tr>
        <w:trPr>
          <w:trHeight w:val="355" w:hRule="atLeast"/>
        </w:trPr>
        <w:tc>
          <w:tcPr>
            <w:tcW w:w="2249" w:type="dxa"/>
            <w:tcBorders>
              <w:left w:val="single" w:sz="18" w:space="0" w:color="6F2F9F"/>
            </w:tcBorders>
            <w:shd w:val="clear" w:color="auto" w:fill="F1F1F1"/>
          </w:tcPr>
          <w:p>
            <w:pPr>
              <w:pStyle w:val="TableParagraph"/>
              <w:spacing w:before="12"/>
              <w:ind w:right="73"/>
              <w:jc w:val="right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sz w:val="22"/>
              </w:rPr>
              <w:t>Etablissement scolaire</w:t>
            </w:r>
          </w:p>
        </w:tc>
        <w:tc>
          <w:tcPr>
            <w:tcW w:w="2860" w:type="dxa"/>
            <w:shd w:val="clear" w:color="auto" w:fill="F1F1F1"/>
          </w:tcPr>
          <w:p>
            <w:pPr>
              <w:pStyle w:val="TableParagraph"/>
              <w:spacing w:before="12"/>
              <w:ind w:left="110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w w:val="100"/>
                <w:sz w:val="22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sz w:val="12"/>
        </w:rPr>
      </w:pPr>
      <w:r>
        <w:rPr/>
        <w:pict>
          <v:shape style="position:absolute;margin-left:233.119995pt;margin-top:10.1pt;width:364.85pt;height:22.6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spacing w:before="52"/>
                    <w:ind w:left="400"/>
                  </w:pPr>
                  <w:r>
                    <w:rPr/>
                    <w:t>Répartition annuelle de la langue française - 5 AEP (Semestre 1)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268.850006pt;margin-top:16.918013pt;width:548.950pt;height:51.75pt;mso-position-horizontal-relative:page;mso-position-vertical-relative:page;z-index:-16359424" coordorigin="5377,338" coordsize="10979,1035">
            <v:rect style="position:absolute;left:11228;top:357;width:5101;height:1016" filled="true" fillcolor="#f1f1f1" stroked="false">
              <v:fill type="solid"/>
            </v:rect>
            <v:rect style="position:absolute;left:16319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6" o:title=""/>
            </v:shape>
            <v:shape style="position:absolute;left:11228;top:357;width:5091;height:1016" type="#_x0000_t202" filled="false" stroked="false">
              <v:textbox inset="0,0,0,0">
                <w:txbxContent>
                  <w:p>
                    <w:pPr>
                      <w:spacing w:line="302" w:lineRule="exact" w:before="0"/>
                      <w:ind w:left="1075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</w:r>
                  </w:p>
                  <w:p>
                    <w:pPr>
                      <w:spacing w:before="33"/>
                      <w:ind w:left="109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 scolaire    </w:t>
                    </w:r>
                    <w:r>
                      <w:rPr>
                        <w:rFonts w:ascii="Sakkal Majalla" w:hAnsi="Sakkal Majalla"/>
                        <w:b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</w:r>
                  </w:p>
                  <w:p>
                    <w:pPr>
                      <w:tabs>
                        <w:tab w:pos="2590" w:val="left" w:leader="none"/>
                      </w:tabs>
                      <w:spacing w:before="34"/>
                      <w:ind w:left="1048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Mes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apprentissages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1459"/>
        <w:gridCol w:w="1459"/>
        <w:gridCol w:w="1823"/>
        <w:gridCol w:w="729"/>
        <w:gridCol w:w="1824"/>
        <w:gridCol w:w="1824"/>
        <w:gridCol w:w="1824"/>
        <w:gridCol w:w="1825"/>
        <w:gridCol w:w="1095"/>
        <w:gridCol w:w="1461"/>
      </w:tblGrid>
      <w:tr>
        <w:trPr>
          <w:trHeight w:val="341" w:hRule="atLeast"/>
        </w:trPr>
        <w:tc>
          <w:tcPr>
            <w:tcW w:w="7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6"/>
              <w:ind w:left="124" w:right="1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88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CAL</w:t>
            </w: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7" w:right="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137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4"/>
              <w:ind w:left="457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65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63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625" w:right="5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Lexique</w:t>
            </w: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162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99" w:right="46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37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1</w:t>
            </w:r>
          </w:p>
        </w:tc>
        <w:tc>
          <w:tcPr>
            <w:tcW w:w="1532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2"/>
              <w:ind w:left="5624" w:right="559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diagnostique et soutien</w:t>
            </w: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2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4" w:lineRule="auto"/>
              <w:ind w:left="483" w:right="103" w:hanging="377"/>
              <w:rPr>
                <w:b/>
                <w:sz w:val="17"/>
              </w:rPr>
            </w:pPr>
            <w:r>
              <w:rPr>
                <w:b/>
                <w:sz w:val="17"/>
              </w:rPr>
              <w:t>Les marocains du monde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150" w:right="163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</w:t>
            </w:r>
            <w:r>
              <w:rPr>
                <w:b/>
                <w:spacing w:val="-27"/>
                <w:sz w:val="16"/>
              </w:rPr>
              <w:t> </w:t>
            </w:r>
            <w:r>
              <w:rPr>
                <w:b/>
                <w:sz w:val="16"/>
              </w:rPr>
              <w:t>les</w:t>
            </w:r>
          </w:p>
          <w:p>
            <w:pPr>
              <w:pStyle w:val="TableParagraph"/>
              <w:spacing w:before="1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marocains du monde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71" w:right="80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informatif: Célébrités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16"/>
              </w:rPr>
              <w:t>marocaines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16"/>
              </w:rPr>
              <w:t>du monde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Dans mon pays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09"/>
              <w:rPr>
                <w:b/>
                <w:sz w:val="16"/>
              </w:rPr>
            </w:pPr>
            <w:r>
              <w:rPr>
                <w:b/>
                <w:sz w:val="16"/>
              </w:rPr>
              <w:t>Le GNS et le GV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97" w:firstLine="96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 du 1er et du 2e gr.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585" w:hanging="516"/>
              <w:rPr>
                <w:b/>
                <w:sz w:val="16"/>
              </w:rPr>
            </w:pPr>
            <w:r>
              <w:rPr>
                <w:b/>
                <w:sz w:val="16"/>
              </w:rPr>
              <w:t>Les noms féminins en "é" et en "ée"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235"/>
              <w:rPr>
                <w:b/>
                <w:sz w:val="16"/>
              </w:rPr>
            </w:pPr>
            <w:r>
              <w:rPr>
                <w:b/>
                <w:sz w:val="16"/>
              </w:rPr>
              <w:t>L'ordre alphabétique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138" w:right="111" w:hanging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Ecrire un message </w:t>
            </w:r>
            <w:r>
              <w:rPr>
                <w:b/>
                <w:w w:val="95"/>
                <w:sz w:val="16"/>
              </w:rPr>
              <w:t>électronique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6" w:lineRule="auto" w:before="111"/>
              <w:ind w:left="37"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journal sur les marocains du monde</w:t>
            </w: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3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30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4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191" w:firstLine="127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vécu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13" w:righ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narratif: Sara Bellali, chercheuse marocaine</w:t>
            </w: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Les indicateurs de temps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126" w:right="134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des verbes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usuels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(1er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2e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49"/>
              <w:rPr>
                <w:b/>
                <w:sz w:val="16"/>
              </w:rPr>
            </w:pPr>
            <w:r>
              <w:rPr>
                <w:b/>
                <w:sz w:val="16"/>
              </w:rPr>
              <w:t>Les accents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/>
              <w:rPr>
                <w:b/>
                <w:sz w:val="16"/>
              </w:rPr>
            </w:pPr>
            <w:r>
              <w:rPr>
                <w:b/>
                <w:sz w:val="16"/>
              </w:rPr>
              <w:t>L'article du dictionnaire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107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Mettre en ordre un récit</w:t>
            </w: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5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6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74"/>
              <w:ind w:left="4118" w:right="40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1</w:t>
            </w: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7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4" w:lineRule="auto"/>
              <w:ind w:left="529" w:right="112" w:hanging="416"/>
              <w:rPr>
                <w:b/>
                <w:sz w:val="17"/>
              </w:rPr>
            </w:pPr>
            <w:r>
              <w:rPr>
                <w:b/>
                <w:sz w:val="17"/>
              </w:rPr>
              <w:t>Les devoirs et les droits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92" w:right="69" w:hanging="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les devoirs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droits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342" w:right="16" w:hanging="228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informatif: Actions solidaires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7" w:lineRule="auto"/>
              <w:ind w:left="696" w:hanging="442"/>
              <w:rPr>
                <w:b/>
                <w:sz w:val="16"/>
              </w:rPr>
            </w:pPr>
            <w:r>
              <w:rPr>
                <w:b/>
                <w:sz w:val="16"/>
              </w:rPr>
              <w:t>Bienvenue dans notre royaume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Les types de phrases (1)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57" w:right="65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(pronominaux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3e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758" w:hanging="680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verbe avec le sujet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75" w:hanging="185"/>
              <w:rPr>
                <w:b/>
                <w:sz w:val="16"/>
              </w:rPr>
            </w:pPr>
            <w:r>
              <w:rPr>
                <w:b/>
                <w:sz w:val="16"/>
              </w:rPr>
              <w:t>Trouver le sens d'un mot dans le dictionnaire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22" w:hanging="164"/>
              <w:rPr>
                <w:b/>
                <w:sz w:val="16"/>
              </w:rPr>
            </w:pPr>
            <w:r>
              <w:rPr>
                <w:b/>
                <w:sz w:val="16"/>
              </w:rPr>
              <w:t>Ecrire un texte informatif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11"/>
              <w:ind w:left="38" w:right="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les devoirs et les droits</w:t>
            </w:r>
          </w:p>
        </w:tc>
      </w:tr>
      <w:tr>
        <w:trPr>
          <w:trHeight w:val="482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8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9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80" w:firstLine="199"/>
              <w:rPr>
                <w:b/>
                <w:sz w:val="16"/>
              </w:rPr>
            </w:pPr>
            <w:r>
              <w:rPr>
                <w:b/>
                <w:sz w:val="16"/>
              </w:rPr>
              <w:t>Exprimer une obligation / donner un ordre / interdire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88" w:right="16" w:firstLine="88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injonctif: Lettre d'un père à son fils</w:t>
            </w: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Les types de phrases (2)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51" w:hanging="75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 (1er et 2e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345" w:hanging="125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participe passé avec "être"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56" w:right="3" w:hanging="219"/>
              <w:rPr>
                <w:b/>
                <w:sz w:val="16"/>
              </w:rPr>
            </w:pPr>
            <w:r>
              <w:rPr>
                <w:b/>
                <w:sz w:val="16"/>
              </w:rPr>
              <w:t>Le lexique thématique des droits et des devoirs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61" w:right="4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Compléter un texte lacunaire</w:t>
            </w: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74"/>
              <w:ind w:left="4118" w:right="40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2</w:t>
            </w: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/>
              <w:ind w:left="51" w:right="66" w:firstLine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Les technologies de l'information et de la communication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 w:before="1"/>
              <w:ind w:left="74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Expliquer un mode de fabrication / d'emploi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 w:before="1"/>
              <w:ind w:left="55" w:righ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explicatif: A la découverte de la tablette tactile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656"/>
              <w:rPr>
                <w:b/>
                <w:sz w:val="16"/>
              </w:rPr>
            </w:pPr>
            <w:r>
              <w:rPr>
                <w:b/>
                <w:sz w:val="16"/>
              </w:rPr>
              <w:t>Aie Phone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auto" w:before="96"/>
              <w:ind w:left="397" w:right="13" w:hanging="356"/>
              <w:rPr>
                <w:b/>
                <w:sz w:val="16"/>
              </w:rPr>
            </w:pPr>
            <w:r>
              <w:rPr>
                <w:b/>
                <w:sz w:val="16"/>
              </w:rPr>
              <w:t>La phrase affirmative et la phrase négative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 w:before="1"/>
              <w:ind w:left="57" w:right="65" w:firstLine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(pronominaux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+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3e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Les graphies du son [k]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auto" w:before="96"/>
              <w:ind w:left="777" w:right="3" w:hanging="740"/>
              <w:rPr>
                <w:b/>
                <w:sz w:val="16"/>
              </w:rPr>
            </w:pPr>
            <w:r>
              <w:rPr>
                <w:b/>
                <w:sz w:val="16"/>
              </w:rPr>
              <w:t>Le lexique thématique des TICE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 w:before="1"/>
              <w:ind w:left="66" w:right="72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Mettre en ordre un </w:t>
            </w:r>
            <w:r>
              <w:rPr>
                <w:b/>
                <w:spacing w:val="-4"/>
                <w:sz w:val="16"/>
              </w:rPr>
              <w:t>texte </w:t>
            </w:r>
            <w:r>
              <w:rPr>
                <w:b/>
                <w:sz w:val="16"/>
              </w:rPr>
              <w:t>explicatif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11"/>
              <w:ind w:left="38" w:right="4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reportage sur les TIC</w:t>
            </w:r>
          </w:p>
        </w:tc>
      </w:tr>
      <w:tr>
        <w:trPr>
          <w:trHeight w:val="482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30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53" w:firstLine="88"/>
              <w:rPr>
                <w:b/>
                <w:sz w:val="16"/>
              </w:rPr>
            </w:pPr>
            <w:r>
              <w:rPr>
                <w:b/>
                <w:sz w:val="16"/>
              </w:rPr>
              <w:t>Conseiller / </w:t>
            </w:r>
            <w:r>
              <w:rPr>
                <w:b/>
                <w:w w:val="95"/>
                <w:sz w:val="16"/>
              </w:rPr>
              <w:t>Recommander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172" w:right="182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</w:t>
            </w:r>
            <w:r>
              <w:rPr>
                <w:b/>
                <w:spacing w:val="-26"/>
                <w:sz w:val="16"/>
              </w:rPr>
              <w:t> </w:t>
            </w:r>
            <w:r>
              <w:rPr>
                <w:b/>
                <w:sz w:val="16"/>
              </w:rPr>
              <w:t>injonctif: Internet: avantages</w:t>
            </w:r>
            <w:r>
              <w:rPr>
                <w:b/>
                <w:spacing w:val="-26"/>
                <w:sz w:val="16"/>
              </w:rPr>
              <w:t> </w:t>
            </w:r>
            <w:r>
              <w:rPr>
                <w:b/>
                <w:sz w:val="16"/>
              </w:rPr>
              <w:t>et dangers</w:t>
            </w: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97" w:hanging="68"/>
              <w:rPr>
                <w:b/>
                <w:sz w:val="16"/>
              </w:rPr>
            </w:pPr>
            <w:r>
              <w:rPr>
                <w:b/>
                <w:sz w:val="16"/>
              </w:rPr>
              <w:t>Les compléments du verbe (COD et COI)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51" w:right="4" w:hanging="207"/>
              <w:rPr>
                <w:b/>
                <w:sz w:val="16"/>
              </w:rPr>
            </w:pPr>
            <w:r>
              <w:rPr>
                <w:b/>
                <w:sz w:val="16"/>
              </w:rPr>
              <w:t>Le futur simple des verbes usuels (1er et 2e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741" w:hanging="612"/>
              <w:rPr>
                <w:b/>
                <w:sz w:val="16"/>
              </w:rPr>
            </w:pPr>
            <w:r>
              <w:rPr>
                <w:b/>
                <w:sz w:val="16"/>
              </w:rPr>
              <w:t>Le féminin des noms en "eur"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Les familles de mots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93" w:firstLine="57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injonctif</w:t>
            </w: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74"/>
              <w:ind w:left="4118" w:right="40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3</w:t>
            </w:r>
          </w:p>
        </w:tc>
        <w:tc>
          <w:tcPr>
            <w:tcW w:w="146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72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15323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0"/>
              <w:ind w:left="5624" w:right="560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</w:tbl>
    <w:p>
      <w:pPr>
        <w:spacing w:after="0"/>
        <w:jc w:val="center"/>
        <w:rPr>
          <w:sz w:val="19"/>
        </w:rPr>
        <w:sectPr>
          <w:footerReference w:type="default" r:id="rId5"/>
          <w:type w:val="continuous"/>
          <w:pgSz w:w="16840" w:h="11910" w:orient="landscape"/>
          <w:pgMar w:footer="904" w:top="340" w:bottom="1100" w:left="160" w:right="360"/>
          <w:pgNumType w:start="1"/>
        </w:sectPr>
      </w:pPr>
    </w:p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9"/>
        <w:gridCol w:w="2860"/>
      </w:tblGrid>
      <w:tr>
        <w:trPr>
          <w:trHeight w:val="319" w:hRule="atLeast"/>
        </w:trPr>
        <w:tc>
          <w:tcPr>
            <w:tcW w:w="2249" w:type="dxa"/>
            <w:tcBorders>
              <w:left w:val="single" w:sz="18" w:space="0" w:color="6F2F9F"/>
            </w:tcBorders>
            <w:shd w:val="clear" w:color="auto" w:fill="F1F1F1"/>
          </w:tcPr>
          <w:p>
            <w:pPr>
              <w:pStyle w:val="TableParagraph"/>
              <w:spacing w:line="298" w:lineRule="exact"/>
              <w:ind w:right="72"/>
              <w:jc w:val="right"/>
              <w:rPr>
                <w:rFonts w:ascii="Sakkal Majalla" w:hAnsi="Sakkal Majalla"/>
                <w:b/>
                <w:sz w:val="22"/>
              </w:rPr>
            </w:pPr>
            <w:r>
              <w:rPr>
                <w:rFonts w:ascii="Sakkal Majalla" w:hAnsi="Sakkal Majalla"/>
                <w:b/>
                <w:sz w:val="22"/>
              </w:rPr>
              <w:t>Académie régionale</w:t>
            </w:r>
          </w:p>
        </w:tc>
        <w:tc>
          <w:tcPr>
            <w:tcW w:w="2860" w:type="dxa"/>
            <w:shd w:val="clear" w:color="auto" w:fill="F1F1F1"/>
          </w:tcPr>
          <w:p>
            <w:pPr>
              <w:pStyle w:val="TableParagraph"/>
              <w:spacing w:line="298" w:lineRule="exact"/>
              <w:ind w:left="110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w w:val="100"/>
                <w:sz w:val="22"/>
              </w:rPr>
              <w:t>:</w:t>
            </w:r>
          </w:p>
        </w:tc>
      </w:tr>
      <w:tr>
        <w:trPr>
          <w:trHeight w:val="340" w:hRule="atLeast"/>
        </w:trPr>
        <w:tc>
          <w:tcPr>
            <w:tcW w:w="2249" w:type="dxa"/>
            <w:tcBorders>
              <w:left w:val="single" w:sz="18" w:space="0" w:color="6F2F9F"/>
            </w:tcBorders>
            <w:shd w:val="clear" w:color="auto" w:fill="F1F1F1"/>
          </w:tcPr>
          <w:p>
            <w:pPr>
              <w:pStyle w:val="TableParagraph"/>
              <w:spacing w:before="12"/>
              <w:ind w:right="74"/>
              <w:jc w:val="right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sz w:val="22"/>
              </w:rPr>
              <w:t>Direction provinciale</w:t>
            </w:r>
          </w:p>
        </w:tc>
        <w:tc>
          <w:tcPr>
            <w:tcW w:w="2860" w:type="dxa"/>
            <w:shd w:val="clear" w:color="auto" w:fill="F1F1F1"/>
          </w:tcPr>
          <w:p>
            <w:pPr>
              <w:pStyle w:val="TableParagraph"/>
              <w:spacing w:before="12"/>
              <w:ind w:left="110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w w:val="100"/>
                <w:sz w:val="22"/>
              </w:rPr>
              <w:t>:</w:t>
            </w:r>
          </w:p>
        </w:tc>
      </w:tr>
      <w:tr>
        <w:trPr>
          <w:trHeight w:val="355" w:hRule="atLeast"/>
        </w:trPr>
        <w:tc>
          <w:tcPr>
            <w:tcW w:w="2249" w:type="dxa"/>
            <w:tcBorders>
              <w:left w:val="single" w:sz="18" w:space="0" w:color="6F2F9F"/>
            </w:tcBorders>
            <w:shd w:val="clear" w:color="auto" w:fill="F1F1F1"/>
          </w:tcPr>
          <w:p>
            <w:pPr>
              <w:pStyle w:val="TableParagraph"/>
              <w:spacing w:before="12"/>
              <w:ind w:right="73"/>
              <w:jc w:val="right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sz w:val="22"/>
              </w:rPr>
              <w:t>Etablissement scolaire</w:t>
            </w:r>
          </w:p>
        </w:tc>
        <w:tc>
          <w:tcPr>
            <w:tcW w:w="2860" w:type="dxa"/>
            <w:shd w:val="clear" w:color="auto" w:fill="F1F1F1"/>
          </w:tcPr>
          <w:p>
            <w:pPr>
              <w:pStyle w:val="TableParagraph"/>
              <w:spacing w:before="12"/>
              <w:ind w:left="110"/>
              <w:rPr>
                <w:rFonts w:ascii="Sakkal Majalla"/>
                <w:b/>
                <w:sz w:val="22"/>
              </w:rPr>
            </w:pPr>
            <w:r>
              <w:rPr>
                <w:rFonts w:ascii="Sakkal Majalla"/>
                <w:b/>
                <w:w w:val="100"/>
                <w:sz w:val="22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b w:val="0"/>
          <w:sz w:val="12"/>
        </w:rPr>
      </w:pPr>
      <w:r>
        <w:rPr/>
        <w:pict>
          <v:shape style="position:absolute;margin-left:233.119995pt;margin-top:10.1pt;width:364.85pt;height:22.6pt;mso-position-horizontal-relative:page;mso-position-vertical-relative:paragraph;z-index:-15727616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spacing w:before="52"/>
                    <w:ind w:left="400"/>
                  </w:pPr>
                  <w:r>
                    <w:rPr/>
                    <w:t>Répartition annuelle de la langue française - 5 AEP (Semestre 2)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268.850006pt;margin-top:16.918013pt;width:548.950pt;height:51.75pt;mso-position-horizontal-relative:page;mso-position-vertical-relative:page;z-index:-16358400" coordorigin="5377,338" coordsize="10979,1035">
            <v:rect style="position:absolute;left:11228;top:357;width:5101;height:1016" filled="true" fillcolor="#f1f1f1" stroked="false">
              <v:fill type="solid"/>
            </v:rect>
            <v:rect style="position:absolute;left:16319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6" o:title=""/>
            </v:shape>
            <v:shape style="position:absolute;left:11228;top:357;width:5091;height:1016" type="#_x0000_t202" filled="false" stroked="false">
              <v:textbox inset="0,0,0,0">
                <w:txbxContent>
                  <w:p>
                    <w:pPr>
                      <w:spacing w:line="302" w:lineRule="exact" w:before="0"/>
                      <w:ind w:left="1075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</w:r>
                  </w:p>
                  <w:p>
                    <w:pPr>
                      <w:spacing w:before="33"/>
                      <w:ind w:left="109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 scolaire    </w:t>
                    </w:r>
                    <w:r>
                      <w:rPr>
                        <w:rFonts w:ascii="Sakkal Majalla" w:hAnsi="Sakkal Majalla"/>
                        <w:b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</w:r>
                  </w:p>
                  <w:p>
                    <w:pPr>
                      <w:tabs>
                        <w:tab w:pos="2590" w:val="left" w:leader="none"/>
                      </w:tabs>
                      <w:spacing w:before="34"/>
                      <w:ind w:left="1048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Mes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apprentissages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459"/>
        <w:gridCol w:w="1465"/>
        <w:gridCol w:w="1818"/>
        <w:gridCol w:w="729"/>
        <w:gridCol w:w="1829"/>
        <w:gridCol w:w="1824"/>
        <w:gridCol w:w="1824"/>
        <w:gridCol w:w="1825"/>
        <w:gridCol w:w="1092"/>
        <w:gridCol w:w="1464"/>
      </w:tblGrid>
      <w:tr>
        <w:trPr>
          <w:trHeight w:val="341" w:hRule="atLeast"/>
        </w:trPr>
        <w:tc>
          <w:tcPr>
            <w:tcW w:w="72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6"/>
              <w:ind w:left="124" w:right="10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94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4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74" w:right="4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CAL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89" w:right="6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142"/>
              <w:rPr>
                <w:b/>
                <w:sz w:val="17"/>
              </w:rPr>
            </w:pPr>
            <w:r>
              <w:rPr>
                <w:b/>
                <w:sz w:val="17"/>
              </w:rPr>
              <w:t>Poésie</w:t>
            </w:r>
          </w:p>
        </w:tc>
        <w:tc>
          <w:tcPr>
            <w:tcW w:w="1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4"/>
              <w:ind w:left="462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65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463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625" w:right="5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Lexique</w:t>
            </w:r>
          </w:p>
        </w:tc>
        <w:tc>
          <w:tcPr>
            <w:tcW w:w="10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162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46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6"/>
              <w:ind w:left="36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4" w:lineRule="auto"/>
              <w:ind w:left="297" w:right="112" w:hanging="173"/>
              <w:rPr>
                <w:b/>
                <w:sz w:val="17"/>
              </w:rPr>
            </w:pPr>
            <w:r>
              <w:rPr>
                <w:b/>
                <w:sz w:val="17"/>
              </w:rPr>
              <w:t>Les inventions et les créations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6"/>
              <w:ind w:left="185" w:right="192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S'informer / Informer sur les inventions et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les </w:t>
            </w:r>
            <w:r>
              <w:rPr>
                <w:b/>
                <w:sz w:val="16"/>
              </w:rPr>
              <w:t>créations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158" w:right="12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informatif: A quoi sert le prix Nobel?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Bien placés bien choisis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297" w:hanging="239"/>
              <w:rPr>
                <w:b/>
                <w:sz w:val="16"/>
              </w:rPr>
            </w:pPr>
            <w:r>
              <w:rPr>
                <w:b/>
                <w:sz w:val="16"/>
              </w:rPr>
              <w:t>Les déterminants (articles définis et indéfinis)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462" w:right="4" w:hanging="418"/>
              <w:rPr>
                <w:b/>
                <w:sz w:val="16"/>
              </w:rPr>
            </w:pPr>
            <w:r>
              <w:rPr>
                <w:b/>
                <w:sz w:val="16"/>
              </w:rPr>
              <w:t>Le futur simple des verbes usuels (3e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393"/>
              <w:rPr>
                <w:b/>
                <w:sz w:val="16"/>
              </w:rPr>
            </w:pPr>
            <w:r>
              <w:rPr>
                <w:b/>
                <w:sz w:val="16"/>
              </w:rPr>
              <w:t>Pré / près / prêt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29"/>
              <w:rPr>
                <w:b/>
                <w:sz w:val="16"/>
              </w:rPr>
            </w:pPr>
            <w:r>
              <w:rPr>
                <w:b/>
                <w:sz w:val="16"/>
              </w:rPr>
              <w:t>Les synonymes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126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informatif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/>
              <w:ind w:left="138" w:right="142" w:firstLine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dépliant sur les inventions et les créations</w:t>
            </w: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4"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une action, un produit, une machine ou un object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 w:before="1"/>
              <w:ind w:left="89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descriptif: Ann Makosinski, jeune inventrice</w:t>
            </w: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auto" w:before="96"/>
              <w:ind w:left="258" w:hanging="22"/>
              <w:rPr>
                <w:b/>
                <w:sz w:val="16"/>
              </w:rPr>
            </w:pPr>
            <w:r>
              <w:rPr>
                <w:b/>
                <w:sz w:val="16"/>
              </w:rPr>
              <w:t>L'adjectif qualificatif épithètes et attribut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auto" w:before="96"/>
              <w:ind w:left="277" w:hanging="101"/>
              <w:rPr>
                <w:b/>
                <w:sz w:val="16"/>
              </w:rPr>
            </w:pPr>
            <w:r>
              <w:rPr>
                <w:b/>
                <w:sz w:val="16"/>
              </w:rPr>
              <w:t>L'imparfait des verbes usuels (1e et 2e gr.)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auto" w:before="96"/>
              <w:ind w:left="62" w:right="-3" w:firstLine="165"/>
              <w:rPr>
                <w:b/>
                <w:sz w:val="16"/>
              </w:rPr>
            </w:pPr>
            <w:r>
              <w:rPr>
                <w:b/>
                <w:sz w:val="16"/>
              </w:rPr>
              <w:t>L'accord de l'adjectif qualificatif (particularités)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29"/>
              <w:rPr>
                <w:b/>
                <w:sz w:val="16"/>
              </w:rPr>
            </w:pPr>
            <w:r>
              <w:rPr>
                <w:b/>
                <w:sz w:val="16"/>
              </w:rPr>
              <w:t>Les antonymes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auto" w:before="96"/>
              <w:ind w:left="57" w:right="-7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descriptif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74"/>
              <w:ind w:left="4124" w:right="409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4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 w:before="111"/>
              <w:ind w:left="74" w:right="7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 monde des océans et de l'espace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89" w:firstLine="223"/>
              <w:rPr>
                <w:b/>
                <w:sz w:val="16"/>
              </w:rPr>
            </w:pPr>
            <w:r>
              <w:rPr>
                <w:b/>
                <w:sz w:val="16"/>
              </w:rPr>
              <w:t>Expliquer un phénomène naturel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417" w:right="12" w:hanging="272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explicatif: Mers et océans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250"/>
              <w:rPr>
                <w:b/>
                <w:sz w:val="16"/>
              </w:rPr>
            </w:pPr>
            <w:r>
              <w:rPr>
                <w:b/>
                <w:sz w:val="16"/>
              </w:rPr>
              <w:t>Moi, j'irai dans la Lune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251" w:firstLine="252"/>
              <w:rPr>
                <w:b/>
                <w:sz w:val="16"/>
              </w:rPr>
            </w:pPr>
            <w:r>
              <w:rPr>
                <w:b/>
                <w:sz w:val="16"/>
              </w:rPr>
              <w:t>Les adjectifs démonstratifs et les adjectifs possessifs)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469" w:hanging="236"/>
              <w:rPr>
                <w:b/>
                <w:sz w:val="16"/>
              </w:rPr>
            </w:pPr>
            <w:r>
              <w:rPr>
                <w:b/>
                <w:sz w:val="16"/>
              </w:rPr>
              <w:t>Le passé récent et le future proche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Les lettres muettes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535"/>
              <w:rPr>
                <w:b/>
                <w:sz w:val="16"/>
              </w:rPr>
            </w:pPr>
            <w:r>
              <w:rPr>
                <w:b/>
                <w:sz w:val="16"/>
              </w:rPr>
              <w:t>Les préfixes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64" w:right="1" w:firstLine="88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explicatif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4" w:lineRule="auto"/>
              <w:ind w:left="205" w:right="206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une affiche sur la protection des océans</w:t>
            </w: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30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84" w:right="9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Donner des indications /</w:t>
            </w:r>
            <w:r>
              <w:rPr>
                <w:b/>
                <w:spacing w:val="-25"/>
                <w:sz w:val="16"/>
              </w:rPr>
              <w:t> </w:t>
            </w:r>
            <w:r>
              <w:rPr>
                <w:b/>
                <w:sz w:val="16"/>
              </w:rPr>
              <w:t>inciter à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faire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81" w:right="87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injonctif: Vous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allez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marcher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sur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la Lune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!</w:t>
            </w: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506" w:hanging="240"/>
              <w:rPr>
                <w:b/>
                <w:sz w:val="16"/>
              </w:rPr>
            </w:pPr>
            <w:r>
              <w:rPr>
                <w:b/>
                <w:sz w:val="16"/>
              </w:rPr>
              <w:t>Les conjonctions de coordination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151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 (3e gr. + v. pronominaux)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Leur / leurs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47"/>
              <w:rPr>
                <w:b/>
                <w:sz w:val="16"/>
              </w:rPr>
            </w:pPr>
            <w:r>
              <w:rPr>
                <w:b/>
                <w:sz w:val="16"/>
              </w:rPr>
              <w:t>Les suffixes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93" w:firstLine="57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injonctif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74"/>
              <w:ind w:left="4124" w:right="409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5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4" w:lineRule="auto"/>
              <w:ind w:left="520" w:right="218" w:hanging="293"/>
              <w:rPr>
                <w:b/>
                <w:sz w:val="17"/>
              </w:rPr>
            </w:pPr>
            <w:r>
              <w:rPr>
                <w:b/>
                <w:sz w:val="17"/>
              </w:rPr>
              <w:t>Les jeux et les sports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156" w:firstLine="223"/>
              <w:rPr>
                <w:b/>
                <w:sz w:val="16"/>
              </w:rPr>
            </w:pPr>
            <w:r>
              <w:rPr>
                <w:b/>
                <w:sz w:val="16"/>
              </w:rPr>
              <w:t>Informer / s'informer sur les jeux et les sports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89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informatif: Jeux et sports, quelles différences?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296"/>
              <w:rPr>
                <w:b/>
                <w:sz w:val="16"/>
              </w:rPr>
            </w:pPr>
            <w:r>
              <w:rPr>
                <w:b/>
                <w:sz w:val="16"/>
              </w:rPr>
              <w:t>Les sauteurs de haies</w:t>
            </w: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462" w:firstLine="28"/>
              <w:rPr>
                <w:b/>
                <w:sz w:val="16"/>
              </w:rPr>
            </w:pPr>
            <w:r>
              <w:rPr>
                <w:b/>
                <w:sz w:val="16"/>
              </w:rPr>
              <w:t>Les pronoms démonstratifs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6"/>
              <w:ind w:left="400" w:hanging="250"/>
              <w:rPr>
                <w:b/>
                <w:sz w:val="16"/>
              </w:rPr>
            </w:pPr>
            <w:r>
              <w:rPr>
                <w:b/>
                <w:sz w:val="16"/>
              </w:rPr>
              <w:t>Les passé composé des verbes de 3e gr.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Le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pluriel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noms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"al"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391"/>
              <w:rPr>
                <w:b/>
                <w:sz w:val="16"/>
              </w:rPr>
            </w:pPr>
            <w:r>
              <w:rPr>
                <w:b/>
                <w:sz w:val="16"/>
              </w:rPr>
              <w:t>Les homonymes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126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informatif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6" w:lineRule="auto" w:before="111"/>
              <w:ind w:left="36" w:right="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Réaliser un dossier sur les jeux et les sports</w:t>
            </w: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30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7"/>
              <w:ind w:left="69" w:right="38" w:hanging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Raconter une expérience personnelle, histoire,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16"/>
              </w:rPr>
              <w:t>souvenir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441" w:right="12" w:hanging="243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narratif: Cours, Ayana !</w:t>
            </w: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Les pronoms possessifs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150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L'imparfait des verbes usuels (3e gr + v. pronominaux)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765" w:hanging="593"/>
              <w:rPr>
                <w:b/>
                <w:sz w:val="16"/>
              </w:rPr>
            </w:pPr>
            <w:r>
              <w:rPr>
                <w:b/>
                <w:sz w:val="16"/>
              </w:rPr>
              <w:t>Le pluriel des noms en "ou"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7"/>
              <w:ind w:left="345" w:right="3" w:hanging="308"/>
              <w:rPr>
                <w:b/>
                <w:sz w:val="16"/>
              </w:rPr>
            </w:pPr>
            <w:r>
              <w:rPr>
                <w:b/>
                <w:sz w:val="16"/>
              </w:rPr>
              <w:t>Le lexique thématique des jeux et des sports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/>
              <w:ind w:left="45" w:right="14" w:hanging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Compléter les bulles d'une bande </w:t>
            </w:r>
            <w:r>
              <w:rPr>
                <w:b/>
                <w:spacing w:val="-3"/>
                <w:sz w:val="16"/>
              </w:rPr>
              <w:t>dessinée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9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  <w:tc>
          <w:tcPr>
            <w:tcW w:w="14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74"/>
              <w:ind w:left="4124" w:right="409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6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  <w:tc>
          <w:tcPr>
            <w:tcW w:w="153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0"/>
              <w:ind w:left="5630" w:right="560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Semestrielle et consolidation des acquis</w:t>
            </w:r>
          </w:p>
        </w:tc>
      </w:tr>
      <w:tr>
        <w:trPr>
          <w:trHeight w:val="362" w:hRule="atLeast"/>
        </w:trPr>
        <w:tc>
          <w:tcPr>
            <w:tcW w:w="72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4"/>
              <w:ind w:left="124" w:right="10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</w:p>
        </w:tc>
        <w:tc>
          <w:tcPr>
            <w:tcW w:w="15329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2"/>
              <w:ind w:left="5630" w:right="559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Opérations de fin d'année scolaire</w:t>
            </w:r>
          </w:p>
        </w:tc>
      </w:tr>
    </w:tbl>
    <w:sectPr>
      <w:pgSz w:w="16840" w:h="11910" w:orient="landscape"/>
      <w:pgMar w:header="0" w:footer="904" w:top="340" w:bottom="1100" w:left="1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3.080002pt;margin-top:531.402954pt;width:109.7pt;height:17.45pt;mso-position-horizontal-relative:page;mso-position-vertical-relative:page;z-index:-163599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Sakkal Majalla"/>
                    <w:b/>
                    <w:sz w:val="22"/>
                  </w:rPr>
                </w:pPr>
                <w:r>
                  <w:rPr>
                    <w:rFonts w:ascii="Sakkal Majalla"/>
                    <w:b/>
                    <w:sz w:val="22"/>
                  </w:rPr>
                  <w:t>Signature de l'enseignant(te):</w:t>
                </w:r>
              </w:p>
            </w:txbxContent>
          </v:textbox>
          <w10:wrap type="none"/>
        </v:shape>
      </w:pict>
    </w:r>
    <w:r>
      <w:rPr/>
      <w:pict>
        <v:shape style="position:absolute;margin-left:408.730011pt;margin-top:531.402954pt;width:85.7pt;height:17.45pt;mso-position-horizontal-relative:page;mso-position-vertical-relative:page;z-index:-16359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Sakkal Majalla"/>
                    <w:b/>
                    <w:sz w:val="22"/>
                  </w:rPr>
                </w:pPr>
                <w:r>
                  <w:rPr>
                    <w:rFonts w:ascii="Sakkal Majalla"/>
                    <w:b/>
                    <w:sz w:val="22"/>
                  </w:rPr>
                  <w:t>Signature du directeur: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59998pt;margin-top:531.402954pt;width:94.35pt;height:17.45pt;mso-position-horizontal-relative:page;mso-position-vertical-relative:page;z-index:-163589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Sakkal Majalla"/>
                    <w:b/>
                    <w:sz w:val="22"/>
                  </w:rPr>
                </w:pPr>
                <w:r>
                  <w:rPr>
                    <w:rFonts w:ascii="Sakkal Majalla"/>
                    <w:b/>
                    <w:sz w:val="22"/>
                  </w:rPr>
                  <w:t>Signature de l'inspecteur: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libri" w:hAnsi="Calibri" w:eastAsia="Calibri" w:cs="Calibri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2022-09-10T11:18:29Z</dcterms:created>
  <dcterms:modified xsi:type="dcterms:W3CDTF">2022-09-10T11:18:29Z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